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dziecka:</w:t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sprawności manualnej.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Wyrabianie płynności ruchów.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Kształtowanie prawidłowej postawy.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Kształtowanie zwinności i koordynacji wzrokowo-ruchowej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szybkiej reakcji na ustalony sygnał.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Stymulowanie rozwoju funkcji percepcyjnych.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Kształtowanie umiejętność łączenia ruchu z muzyką.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Kształtowanie wrażliwości, w tym wrażliwości estetycznej w odniesieniu do wielu sfer aktywności człowieka.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Kształtowanie umiejętności wyrażania własnych doznań i przeżyć w kontaktach ze sztuką.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Wzmacnianie więzi emocjonalnej z rodziną.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więzi emocjonalnej z rodziną i przywiązania do najbliższych.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aktywności w zabawie i umiejętności współpracy z rówieśnikami.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bookmarkEnd w:id="0"/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Budowanie systemu wartości dziecka – nauka czerpania radości ze sprawiania innym niespodzianek z okazji ich święta.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umiejętności społecznych i współpracy w grupie.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Budowanie dziecięcej wiedzy o świecie.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lastRenderedPageBreak/>
        <w:t>Stymulowanie ciekawości poznawczej.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Stymulowanie ekspresji twórczej dziecka.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czynnego i biernego słownictwa dziecka.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umiejętności wypowiadania się na określony temat.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umiejętności matematycznych.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Budzenie zaciekawienia otaczającą przyrodą.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umiejętności wokalnych.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Rozwijanie kreatywności, zdolności manualnych oraz wyobraźni przestrzennej.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Rozbudzenie zainteresowania sztuką.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9E79E1" w:rsidRPr="009E79E1" w:rsidRDefault="009E79E1" w:rsidP="009E79E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79E1">
        <w:rPr>
          <w:rFonts w:ascii="Times New Roman" w:eastAsia="Calibri" w:hAnsi="Times New Roman" w:cs="Times New Roman"/>
          <w:sz w:val="24"/>
          <w:szCs w:val="24"/>
        </w:rPr>
        <w:t>Wspieranie aktywności plastycznej i twórczej dziecka.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p w:rsidR="00CC5E52" w:rsidRDefault="009E79E1" w:rsidP="009E79E1">
      <w:r w:rsidRPr="009E79E1">
        <w:rPr>
          <w:rFonts w:ascii="Times New Roman" w:eastAsia="Calibri" w:hAnsi="Times New Roman" w:cs="Times New Roman"/>
          <w:sz w:val="24"/>
          <w:szCs w:val="24"/>
        </w:rPr>
        <w:t>Rozwijanie wrażliwości i wyobraźni plastycznej.</w:t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  <w:r w:rsidRPr="009E79E1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CC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C22A6"/>
    <w:multiLevelType w:val="hybridMultilevel"/>
    <w:tmpl w:val="02060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E1"/>
    <w:rsid w:val="009E79E1"/>
    <w:rsid w:val="00C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2026-04-30T10:49:00Z</dcterms:created>
  <dcterms:modified xsi:type="dcterms:W3CDTF">2026-04-30T10:50:00Z</dcterms:modified>
</cp:coreProperties>
</file>